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CF1DF7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CF1DF7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CF1DF7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CF1DF7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การขอรับบำเหน็จตกทอด </w:t>
      </w:r>
      <w:r w:rsidR="00081011" w:rsidRPr="00CF1DF7">
        <w:rPr>
          <w:rFonts w:ascii="TH SarabunIT๙" w:hAnsi="TH SarabunIT๙" w:cs="TH SarabunIT๙"/>
          <w:b/>
          <w:bCs/>
          <w:noProof/>
          <w:sz w:val="40"/>
          <w:szCs w:val="40"/>
        </w:rPr>
        <w:t>(</w:t>
      </w:r>
      <w:r w:rsidR="00081011" w:rsidRPr="00CF1DF7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081011" w:rsidRPr="00CF1DF7">
        <w:rPr>
          <w:rFonts w:ascii="TH SarabunIT๙" w:hAnsi="TH SarabunIT๙" w:cs="TH SarabunIT๙"/>
          <w:b/>
          <w:bCs/>
          <w:noProof/>
          <w:sz w:val="40"/>
          <w:szCs w:val="40"/>
        </w:rPr>
        <w:t>)</w:t>
      </w:r>
    </w:p>
    <w:p w:rsidR="00513AE8" w:rsidRPr="00CF1DF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1D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CF1DF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CF1D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F1DF7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CF1D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F1DF7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CF1D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CF1DF7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CF1D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CF1DF7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CF1DF7" w:rsidRDefault="00CC1430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1DF7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CF1DF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1DF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F1DF7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1DF7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สิทธิประโยชน์เกี่ยวกับบำเหน็จตกทอดเป็นสิทธิประโยชน์ที่จ่ายให้แก่ทายาทของลูกจ้างประจำที่รับบำเหน็จรายเดือนหรือบำเหน็จพิเศษรายเดือนที่ถึงแก่ความตาย</w:t>
      </w:r>
      <w:r w:rsidRPr="00CF1DF7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การจ่ายบำเหน็จตกทอดจ่ายเป็นจำนวน </w:t>
      </w:r>
      <w:r w:rsidRPr="00CF1DF7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เท่าของบำเหน็จรายเดือนหรือบำเหน็จพิเศษรายเดือนแล้วแต่กรณี</w:t>
      </w:r>
      <w:r w:rsidRPr="00CF1DF7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ไม่มีทายาทให้จ่ายแก่บุคคลตามที่ลูกจ้างประจำของหน่วยการบริหารราชการส่วนท้องถิ่นระบุให้เป็นผู้มีสิทธิรับบำเหน็จตกทอดตามหนังสือแสดงเจตนาฯกรณีมากกว่า </w:t>
      </w:r>
      <w:r w:rsidRPr="00CF1DF7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คนให้กำหนดส่วนให้ชัดเจนกรณีมิได้กำหนดส่วนให้ถือว่าทุกคนมีสิทธิได้รับในอัตราส่วนที่เท่ากันตามวิธีการในการแสดงเจตนาระบุตัวผู้รับบำเหน็จตกทอดลูกจ้างประจำของราชการส่วนท้องถิ่นตามหนังสือกระทรวงมหาดไทยที่มท </w:t>
      </w:r>
      <w:r w:rsidRPr="00CF1DF7">
        <w:rPr>
          <w:rFonts w:ascii="TH SarabunIT๙" w:hAnsi="TH SarabunIT๙" w:cs="TH SarabunIT๙"/>
          <w:noProof/>
          <w:sz w:val="32"/>
          <w:szCs w:val="32"/>
        </w:rPr>
        <w:t>0808.5/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ว </w:t>
      </w:r>
      <w:r w:rsidRPr="00CF1DF7">
        <w:rPr>
          <w:rFonts w:ascii="TH SarabunIT๙" w:hAnsi="TH SarabunIT๙" w:cs="TH SarabunIT๙"/>
          <w:noProof/>
          <w:sz w:val="32"/>
          <w:szCs w:val="32"/>
        </w:rPr>
        <w:t xml:space="preserve">4061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ลงวันที่ </w:t>
      </w:r>
      <w:r w:rsidRPr="00CF1DF7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สิงหาคม </w:t>
      </w:r>
      <w:r w:rsidR="00CF1DF7">
        <w:rPr>
          <w:rFonts w:ascii="TH SarabunIT๙" w:hAnsi="TH SarabunIT๙" w:cs="TH SarabunIT๙"/>
          <w:noProof/>
          <w:sz w:val="32"/>
          <w:szCs w:val="32"/>
        </w:rPr>
        <w:t>2555</w:t>
      </w:r>
      <w:r w:rsidRPr="00CF1DF7">
        <w:rPr>
          <w:rFonts w:ascii="TH SarabunIT๙" w:hAnsi="TH SarabunIT๙" w:cs="TH SarabunIT๙"/>
          <w:noProof/>
          <w:sz w:val="32"/>
          <w:szCs w:val="32"/>
        </w:rPr>
        <w:br/>
        <w:t>4.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องค์การบริหารส่วนจังหวัด</w:t>
      </w:r>
      <w:r w:rsidRPr="00CF1DF7">
        <w:rPr>
          <w:rFonts w:ascii="TH SarabunIT๙" w:hAnsi="TH SarabunIT๙" w:cs="TH SarabunIT๙"/>
          <w:noProof/>
          <w:sz w:val="32"/>
          <w:szCs w:val="32"/>
        </w:rPr>
        <w:t>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CF1DF7">
        <w:rPr>
          <w:rFonts w:ascii="TH SarabunIT๙" w:hAnsi="TH SarabunIT๙" w:cs="TH SarabunIT๙"/>
          <w:noProof/>
          <w:sz w:val="32"/>
          <w:szCs w:val="32"/>
        </w:rPr>
        <w:t>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Pr="00CF1DF7">
        <w:rPr>
          <w:rFonts w:ascii="TH SarabunIT๙" w:hAnsi="TH SarabunIT๙" w:cs="TH SarabunIT๙"/>
          <w:noProof/>
          <w:sz w:val="32"/>
          <w:szCs w:val="32"/>
        </w:rPr>
        <w:t>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เมืองพัทยาจะแจ้งผลการพิจารณาให้ผู้ยื่นคำขอทราบภายใน </w:t>
      </w:r>
      <w:r w:rsidRPr="00CF1DF7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CF1DF7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แห่งพระราชบัญญัติการอำนวยความสะดวกในการพิจารณาอนุญาตของทางราชการพ</w:t>
      </w:r>
      <w:r w:rsidRPr="00CF1DF7">
        <w:rPr>
          <w:rFonts w:ascii="TH SarabunIT๙" w:hAnsi="TH SarabunIT๙" w:cs="TH SarabunIT๙"/>
          <w:noProof/>
          <w:sz w:val="32"/>
          <w:szCs w:val="32"/>
        </w:rPr>
        <w:t>.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CF1DF7">
        <w:rPr>
          <w:rFonts w:ascii="TH SarabunIT๙" w:hAnsi="TH SarabunIT๙" w:cs="TH SarabunIT๙"/>
          <w:noProof/>
          <w:sz w:val="32"/>
          <w:szCs w:val="32"/>
        </w:rPr>
        <w:t>.2558</w:t>
      </w:r>
      <w:r w:rsidRPr="00CF1DF7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CF1DF7">
        <w:rPr>
          <w:rFonts w:ascii="TH SarabunIT๙" w:hAnsi="TH SarabunIT๙" w:cs="TH SarabunIT๙"/>
          <w:noProof/>
          <w:sz w:val="32"/>
          <w:szCs w:val="32"/>
        </w:rPr>
        <w:t>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CF1DF7">
        <w:rPr>
          <w:rFonts w:ascii="TH SarabunIT๙" w:hAnsi="TH SarabunIT๙" w:cs="TH SarabunIT๙"/>
          <w:noProof/>
          <w:sz w:val="32"/>
          <w:szCs w:val="32"/>
        </w:rPr>
        <w:t>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CF1DF7">
        <w:rPr>
          <w:rFonts w:ascii="TH SarabunIT๙" w:hAnsi="TH SarabunIT๙" w:cs="TH SarabunIT๙"/>
          <w:noProof/>
          <w:sz w:val="32"/>
          <w:szCs w:val="32"/>
        </w:rPr>
        <w:t>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CF1DF7">
        <w:rPr>
          <w:rFonts w:ascii="TH SarabunIT๙" w:hAnsi="TH SarabunIT๙" w:cs="TH SarabunIT๙"/>
          <w:noProof/>
          <w:sz w:val="32"/>
          <w:szCs w:val="32"/>
        </w:rPr>
        <w:t>/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CF1DF7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CF1DF7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CF1DF7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</w:p>
    <w:p w:rsidR="00CF1DF7" w:rsidRDefault="00CF1DF7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CF1DF7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CF1DF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F1DF7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F1DF7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CF1DF7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F1DF7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DF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F1DF7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CF1DF7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CF1DF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F1D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F1DF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CF1DF7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081011" w:rsidRPr="00CF1DF7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CF1DF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F1DF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F1DF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F1DF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F1DF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CF1DF7" w:rsidTr="00310762">
        <w:tc>
          <w:tcPr>
            <w:tcW w:w="846" w:type="dxa"/>
          </w:tcPr>
          <w:p w:rsidR="0067367B" w:rsidRPr="00CF1DF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F1DF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1A5925" w:rsidRPr="00CF1DF7" w:rsidRDefault="00081011" w:rsidP="00DF19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ทายาทหรือผู้มีสิทธิยื่นเรื่องขอรับบำเหน็จตกทอดพร้อม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ต่อองค์กรปกครองส่วนท้องถิ่นที่ลูกจ้างประจำรับบำเหน็จรายเดือนหรือบำเหน็จพิเศษรายเดือนและเจ้าหน้าที่ตรวจสอบความถูกต้องของเอกสารหลักฐาน</w:t>
            </w:r>
          </w:p>
        </w:tc>
        <w:tc>
          <w:tcPr>
            <w:tcW w:w="1766" w:type="dxa"/>
          </w:tcPr>
          <w:p w:rsidR="0067367B" w:rsidRPr="00CF1DF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CF1DF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F1DF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CF1DF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CF1DF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F1DF7" w:rsidTr="00310762">
        <w:tc>
          <w:tcPr>
            <w:tcW w:w="846" w:type="dxa"/>
          </w:tcPr>
          <w:p w:rsidR="0067367B" w:rsidRPr="00CF1DF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F1DF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1A5925" w:rsidRPr="00CF1DF7" w:rsidRDefault="00081011" w:rsidP="00CF1D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เจ้าหน้าที่ผู้รับผิดชอบขององค์กรปกครองส่วนท้องถิ่น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ตรวจสอบความถูกต้องและรวบรวมหลักฐานเอกสาร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ที่เกี่ยวข้องเสนอผู้มีอำนาจพิจารณา</w:t>
            </w:r>
          </w:p>
        </w:tc>
        <w:tc>
          <w:tcPr>
            <w:tcW w:w="1766" w:type="dxa"/>
          </w:tcPr>
          <w:p w:rsidR="0067367B" w:rsidRPr="00CF1DF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F1DF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F1DF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CF1DF7" w:rsidRDefault="00081011" w:rsidP="00CF1D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F1DF7" w:rsidTr="00310762">
        <w:tc>
          <w:tcPr>
            <w:tcW w:w="846" w:type="dxa"/>
          </w:tcPr>
          <w:p w:rsidR="0067367B" w:rsidRPr="00CF1DF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F1DF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1A5925" w:rsidRPr="00CF1DF7" w:rsidRDefault="00081011" w:rsidP="00CF1D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นายกองค์กรปกครองส่วนท้องถิ่นหรือผู้ที่รับมอบอำนาจ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สั่งจ่ายเงินบำเหน็จตกทอดโดยองค์กรปกครองส่วนท้องถิ่นแจ้งและเบิกจ่ายเงินดังกล่าวให้แก่ทายาทหรือผู้มีสิทธิฯต่อไป</w:t>
            </w:r>
          </w:p>
        </w:tc>
        <w:tc>
          <w:tcPr>
            <w:tcW w:w="1766" w:type="dxa"/>
          </w:tcPr>
          <w:p w:rsidR="0067367B" w:rsidRPr="00CF1DF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CF1DF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CF1DF7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CF1DF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CF1DF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CF1DF7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CF1DF7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CF1DF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F1DF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F1DF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F1DF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F1DF7" w:rsidTr="000E5F48">
        <w:tc>
          <w:tcPr>
            <w:tcW w:w="846" w:type="dxa"/>
          </w:tcPr>
          <w:p w:rsidR="00E8524B" w:rsidRPr="00CF1DF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F1DF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F1DF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แบบคำขอรับบำเหน็จตกทอดลูกจ้างประจำ</w:t>
            </w:r>
          </w:p>
          <w:p w:rsidR="00CD595C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C1430"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F1DF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CF1DF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F1DF7" w:rsidTr="000E5F48">
        <w:tc>
          <w:tcPr>
            <w:tcW w:w="846" w:type="dxa"/>
          </w:tcPr>
          <w:p w:rsidR="00E8524B" w:rsidRPr="00CF1DF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F1DF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F1DF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หนังสือแสดงเจตนาระบุตัวผู้รับบำเหน็จตกทอดลูกจ้างประจำของราชการส่วนท้องถิ่น </w:t>
            </w: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C1430"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F1DF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CF1DF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F1DF7" w:rsidTr="000E5F48">
        <w:tc>
          <w:tcPr>
            <w:tcW w:w="846" w:type="dxa"/>
          </w:tcPr>
          <w:p w:rsidR="00E8524B" w:rsidRPr="00CF1DF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F1DF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F1DF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หนังสือรับรองการใช้เงินคืนแก่หน่วยการบริหารราชการส่วนท้องถิ่น</w:t>
            </w:r>
          </w:p>
          <w:p w:rsidR="00CD595C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F1DF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CC1430"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F1DF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</w:t>
            </w:r>
            <w:r w:rsidR="00CF1DF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CF1DF7" w:rsidTr="000E5F48">
        <w:tc>
          <w:tcPr>
            <w:tcW w:w="846" w:type="dxa"/>
          </w:tcPr>
          <w:p w:rsidR="00E8524B" w:rsidRPr="00CF1DF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F1DF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F1DF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ใบมรณบัตร</w:t>
            </w:r>
          </w:p>
          <w:p w:rsidR="00CD595C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F1DF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F1DF7" w:rsidRDefault="00CC1430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CF1DF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F1DF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</w:tc>
      </w:tr>
    </w:tbl>
    <w:p w:rsidR="00CD595C" w:rsidRPr="00CF1DF7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CF1DF7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CF1DF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F1DF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F1DF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F1DF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F1DF7" w:rsidTr="008D6120">
        <w:tc>
          <w:tcPr>
            <w:tcW w:w="846" w:type="dxa"/>
          </w:tcPr>
          <w:p w:rsidR="00CD595C" w:rsidRPr="00CF1DF7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F1DF7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ไม่ค่าธรรมเนียม</w:t>
            </w:r>
          </w:p>
          <w:p w:rsidR="001A5925" w:rsidRPr="00CF1DF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CF1DF7" w:rsidRDefault="004D7C74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12105" w:rsidRPr="00CF1DF7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CF1DF7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CF1DF7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CF1DF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F1DF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F1DF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F1DF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F1DF7" w:rsidTr="00527864">
        <w:tc>
          <w:tcPr>
            <w:tcW w:w="846" w:type="dxa"/>
          </w:tcPr>
          <w:p w:rsidR="000B2BF5" w:rsidRPr="00CF1DF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F1DF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CF1DF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F1DF7" w:rsidTr="00527864">
        <w:tc>
          <w:tcPr>
            <w:tcW w:w="846" w:type="dxa"/>
          </w:tcPr>
          <w:p w:rsidR="000B2BF5" w:rsidRPr="00CF1DF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F1DF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CF1DF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CF1DF7" w:rsidTr="00527864">
        <w:tc>
          <w:tcPr>
            <w:tcW w:w="846" w:type="dxa"/>
          </w:tcPr>
          <w:p w:rsidR="000B2BF5" w:rsidRPr="00CF1DF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F1DF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CF1DF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CF1DF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CF1DF7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F1DF7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CF1DF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F1DF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F1DF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D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F1DF7" w:rsidTr="00527864">
        <w:tc>
          <w:tcPr>
            <w:tcW w:w="10075" w:type="dxa"/>
            <w:gridSpan w:val="2"/>
          </w:tcPr>
          <w:p w:rsidR="00527864" w:rsidRPr="00CF1DF7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DF7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CF1DF7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F1DF7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CF1DF7" w:rsidRDefault="000B2BF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F1DF7" w:rsidRDefault="00CC1430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F1DF7">
        <w:rPr>
          <w:rFonts w:ascii="TH SarabunIT๙" w:hAnsi="TH SarabunIT๙" w:cs="TH SarabunIT๙"/>
          <w:noProof/>
          <w:sz w:val="24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.6pt;margin-top:27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CF1DF7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CF1DF7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CF1DF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CF1DF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F1D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CF1DF7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การขอรับบำเหน็จตกทอด </w:t>
      </w:r>
      <w:r w:rsidR="007B7ED7" w:rsidRPr="00CF1DF7">
        <w:rPr>
          <w:rFonts w:ascii="TH SarabunIT๙" w:hAnsi="TH SarabunIT๙" w:cs="TH SarabunIT๙"/>
          <w:noProof/>
          <w:sz w:val="32"/>
          <w:szCs w:val="32"/>
        </w:rPr>
        <w:t>(</w:t>
      </w:r>
      <w:r w:rsidR="007B7ED7" w:rsidRPr="00CF1DF7">
        <w:rPr>
          <w:rFonts w:ascii="TH SarabunIT๙" w:hAnsi="TH SarabunIT๙" w:cs="TH SarabunIT๙"/>
          <w:noProof/>
          <w:sz w:val="32"/>
          <w:szCs w:val="32"/>
          <w:cs/>
        </w:rPr>
        <w:t>กรณีลูกจ้างประจำผู้รับบำเหน็จรายเดือนหรือบำเหน็จพิเศษรายเดือนถึงแก่กรรม</w:t>
      </w:r>
      <w:r w:rsidR="007B7ED7" w:rsidRPr="00CF1DF7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CF1DF7">
        <w:rPr>
          <w:rFonts w:ascii="TH SarabunIT๙" w:hAnsi="TH SarabunIT๙" w:cs="TH SarabunIT๙"/>
          <w:sz w:val="24"/>
          <w:szCs w:val="32"/>
        </w:rPr>
        <w:t>:</w:t>
      </w:r>
      <w:r w:rsidR="00310B8F" w:rsidRPr="00CF1DF7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CF1DF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CF1DF7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CF1DF7">
        <w:rPr>
          <w:rFonts w:ascii="TH SarabunIT๙" w:hAnsi="TH SarabunIT๙" w:cs="TH SarabunIT๙"/>
          <w:noProof/>
          <w:sz w:val="32"/>
          <w:szCs w:val="32"/>
          <w:cs/>
        </w:rPr>
        <w:t>อนุมัติ</w:t>
      </w:r>
    </w:p>
    <w:p w:rsidR="009F08E4" w:rsidRPr="00CF1DF7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CF1DF7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CF1DF7" w:rsidTr="00CF1DF7">
        <w:tc>
          <w:tcPr>
            <w:tcW w:w="10070" w:type="dxa"/>
          </w:tcPr>
          <w:p w:rsidR="00357B89" w:rsidRPr="00CF1DF7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DF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F1DF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F1DF7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F1DF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2542</w:t>
            </w:r>
            <w:bookmarkStart w:id="0" w:name="_GoBack"/>
            <w:bookmarkEnd w:id="0"/>
          </w:p>
        </w:tc>
      </w:tr>
    </w:tbl>
    <w:p w:rsidR="00D30394" w:rsidRPr="00CF1DF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CF1DF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CF1DF7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CF1DF7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Pr="00CF1DF7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F1DF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CF1DF7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ระเบียบกระทรวงมหาดไทยว่าด้วยบำเหน็จลูกจ้างของหน่วยการบริหารราชการส่วนท้องถิ่นพ</w:t>
      </w:r>
      <w:r w:rsidR="00310B8F" w:rsidRPr="00CF1DF7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CF1DF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CF1DF7">
        <w:rPr>
          <w:rFonts w:ascii="TH SarabunIT๙" w:hAnsi="TH SarabunIT๙" w:cs="TH SarabunIT๙"/>
          <w:noProof/>
          <w:sz w:val="32"/>
          <w:szCs w:val="32"/>
        </w:rPr>
        <w:t>. 2542</w:t>
      </w: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CF1DF7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CF1DF7">
        <w:rPr>
          <w:rFonts w:ascii="TH SarabunIT๙" w:hAnsi="TH SarabunIT๙" w:cs="TH SarabunIT๙"/>
          <w:noProof/>
          <w:sz w:val="32"/>
          <w:szCs w:val="32"/>
        </w:rPr>
        <w:t>15.0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CF1DF7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CF1DF7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F1DF7">
        <w:rPr>
          <w:rFonts w:ascii="TH SarabunIT๙" w:hAnsi="TH SarabunIT๙" w:cs="TH SarabunIT๙"/>
          <w:sz w:val="24"/>
          <w:szCs w:val="32"/>
        </w:rPr>
        <w:tab/>
      </w:r>
      <w:r w:rsidRPr="00CF1DF7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CF1DF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F1DF7">
        <w:rPr>
          <w:rFonts w:ascii="TH SarabunIT๙" w:hAnsi="TH SarabunIT๙" w:cs="TH SarabunIT๙"/>
          <w:sz w:val="24"/>
          <w:szCs w:val="32"/>
        </w:rPr>
        <w:tab/>
      </w:r>
      <w:r w:rsidRPr="00CF1DF7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CF1DF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CF1DF7">
        <w:rPr>
          <w:rFonts w:ascii="TH SarabunIT๙" w:hAnsi="TH SarabunIT๙" w:cs="TH SarabunIT๙"/>
          <w:sz w:val="24"/>
          <w:szCs w:val="32"/>
        </w:rPr>
        <w:tab/>
      </w:r>
      <w:r w:rsidRPr="00CF1DF7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CF1DF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F1DF7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F1DF7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F1DF7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CF1DF7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F1DF7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F1DF7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CF1DF7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CF1DF7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CF1DF7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CF1DF7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CF1DF7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CF1DF7" w:rsidSect="00724628">
      <w:headerReference w:type="default" r:id="rId7"/>
      <w:pgSz w:w="12240" w:h="15840"/>
      <w:pgMar w:top="1440" w:right="1080" w:bottom="1440" w:left="1418" w:header="720" w:footer="720" w:gutter="0"/>
      <w:pgNumType w:start="1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E0" w:rsidRDefault="008330E0" w:rsidP="00724628">
      <w:pPr>
        <w:spacing w:after="0" w:line="240" w:lineRule="auto"/>
      </w:pPr>
      <w:r>
        <w:separator/>
      </w:r>
    </w:p>
  </w:endnote>
  <w:endnote w:type="continuationSeparator" w:id="1">
    <w:p w:rsidR="008330E0" w:rsidRDefault="008330E0" w:rsidP="0072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E0" w:rsidRDefault="008330E0" w:rsidP="00724628">
      <w:pPr>
        <w:spacing w:after="0" w:line="240" w:lineRule="auto"/>
      </w:pPr>
      <w:r>
        <w:separator/>
      </w:r>
    </w:p>
  </w:footnote>
  <w:footnote w:type="continuationSeparator" w:id="1">
    <w:p w:rsidR="008330E0" w:rsidRDefault="008330E0" w:rsidP="0072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3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724628" w:rsidRPr="00724628" w:rsidRDefault="00724628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724628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24628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24628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724628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120</w:t>
        </w:r>
        <w:r w:rsidRPr="00724628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724628" w:rsidRDefault="0072462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4628"/>
    <w:rsid w:val="00727E67"/>
    <w:rsid w:val="007B7ED7"/>
    <w:rsid w:val="00812105"/>
    <w:rsid w:val="00815F25"/>
    <w:rsid w:val="008330E0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C1430"/>
    <w:rsid w:val="00CD595C"/>
    <w:rsid w:val="00CF1DF7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30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1D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F1DF7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724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24628"/>
  </w:style>
  <w:style w:type="paragraph" w:styleId="ab">
    <w:name w:val="footer"/>
    <w:basedOn w:val="a"/>
    <w:link w:val="ac"/>
    <w:uiPriority w:val="99"/>
    <w:semiHidden/>
    <w:unhideWhenUsed/>
    <w:rsid w:val="00724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724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74E15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2018-07-10T09:10:00Z</dcterms:modified>
</cp:coreProperties>
</file>